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08" w:rsidRDefault="00A25508" w:rsidP="00A25508">
      <w:pPr>
        <w:widowControl w:val="0"/>
        <w:autoSpaceDE w:val="0"/>
        <w:autoSpaceDN w:val="0"/>
        <w:adjustRightInd w:val="0"/>
        <w:spacing w:line="216" w:lineRule="exact"/>
        <w:ind w:left="90" w:right="-1080"/>
        <w:jc w:val="center"/>
        <w:rPr>
          <w:rFonts w:ascii="Times New Roman" w:hAnsi="Times New Roman" w:cs="Times New Roman"/>
          <w:b/>
          <w:bCs/>
          <w:sz w:val="20"/>
          <w:szCs w:val="20"/>
        </w:rPr>
      </w:pPr>
      <w:r>
        <w:rPr>
          <w:rFonts w:ascii="Times New Roman" w:hAnsi="Times New Roman" w:cs="Times New Roman"/>
          <w:b/>
          <w:bCs/>
          <w:sz w:val="20"/>
          <w:szCs w:val="20"/>
        </w:rPr>
        <w:t>PRIVATE PLACEMENT MEMORANDU</w:t>
      </w:r>
      <w:bookmarkStart w:id="0" w:name="_GoBack"/>
      <w:bookmarkEnd w:id="0"/>
      <w:r>
        <w:rPr>
          <w:rFonts w:ascii="Times New Roman" w:hAnsi="Times New Roman" w:cs="Times New Roman"/>
          <w:b/>
          <w:bCs/>
          <w:sz w:val="20"/>
          <w:szCs w:val="20"/>
        </w:rPr>
        <w:t>M DATED DECEMBER 2, 2016</w:t>
      </w:r>
    </w:p>
    <w:p w:rsidR="00A25508" w:rsidRDefault="00A25508" w:rsidP="00A25508">
      <w:pPr>
        <w:widowControl w:val="0"/>
        <w:autoSpaceDE w:val="0"/>
        <w:autoSpaceDN w:val="0"/>
        <w:adjustRightInd w:val="0"/>
        <w:spacing w:line="216" w:lineRule="exact"/>
        <w:ind w:left="2860" w:right="-231"/>
        <w:rPr>
          <w:rFonts w:ascii="Times New Roman" w:hAnsi="Times New Roman" w:cs="Times New Roman"/>
          <w:b/>
          <w:bCs/>
          <w:sz w:val="20"/>
          <w:szCs w:val="20"/>
        </w:rPr>
      </w:pPr>
    </w:p>
    <w:p w:rsidR="00A25508" w:rsidRDefault="00A25508" w:rsidP="00A25508">
      <w:pPr>
        <w:widowControl w:val="0"/>
        <w:autoSpaceDE w:val="0"/>
        <w:autoSpaceDN w:val="0"/>
        <w:adjustRightInd w:val="0"/>
        <w:spacing w:before="240" w:line="216" w:lineRule="exact"/>
        <w:ind w:left="72" w:right="-1056"/>
        <w:jc w:val="both"/>
        <w:rPr>
          <w:rFonts w:ascii="Times New Roman" w:hAnsi="Times New Roman" w:cs="Times New Roman"/>
          <w:sz w:val="20"/>
          <w:szCs w:val="20"/>
        </w:rPr>
      </w:pPr>
      <w:r>
        <w:rPr>
          <w:rFonts w:ascii="Times New Roman" w:hAnsi="Times New Roman" w:cs="Times New Roman"/>
          <w:sz w:val="20"/>
          <w:szCs w:val="20"/>
        </w:rPr>
        <w:t xml:space="preserve">This Supplement is intended to make an adjustment to the Private Placement Memorandum dated December 2, 2016 </w:t>
      </w:r>
      <w:r>
        <w:rPr>
          <w:rFonts w:ascii="Times New Roman" w:hAnsi="Times New Roman" w:cs="Times New Roman"/>
          <w:b/>
          <w:bCs/>
          <w:sz w:val="20"/>
          <w:szCs w:val="20"/>
        </w:rPr>
        <w:t>(the “PPM”)</w:t>
      </w:r>
      <w:r>
        <w:rPr>
          <w:rFonts w:ascii="Times New Roman" w:hAnsi="Times New Roman" w:cs="Times New Roman"/>
          <w:sz w:val="20"/>
          <w:szCs w:val="20"/>
        </w:rPr>
        <w:t xml:space="preserve"> prepared by the City of Petersburg, Virginia </w:t>
      </w:r>
      <w:r>
        <w:rPr>
          <w:rFonts w:ascii="Times New Roman" w:hAnsi="Times New Roman" w:cs="Times New Roman"/>
          <w:b/>
          <w:bCs/>
          <w:sz w:val="20"/>
          <w:szCs w:val="20"/>
        </w:rPr>
        <w:t>(the “City”)</w:t>
      </w:r>
      <w:r>
        <w:rPr>
          <w:rFonts w:ascii="Times New Roman" w:hAnsi="Times New Roman" w:cs="Times New Roman"/>
          <w:sz w:val="20"/>
          <w:szCs w:val="20"/>
        </w:rPr>
        <w:t xml:space="preserve"> to provide that the notice of redemption for the City’s General Obligation Revenue Anticipation Notes, Series 2016 </w:t>
      </w:r>
      <w:r>
        <w:rPr>
          <w:rFonts w:ascii="Times New Roman" w:hAnsi="Times New Roman" w:cs="Times New Roman"/>
          <w:b/>
          <w:bCs/>
          <w:sz w:val="20"/>
          <w:szCs w:val="20"/>
        </w:rPr>
        <w:t xml:space="preserve">(the “Notes”) </w:t>
      </w:r>
      <w:r>
        <w:rPr>
          <w:rFonts w:ascii="Times New Roman" w:hAnsi="Times New Roman" w:cs="Times New Roman"/>
          <w:sz w:val="20"/>
          <w:szCs w:val="20"/>
        </w:rPr>
        <w:t xml:space="preserve">must be made not less than 20 days prior to the redemption date rather than 15 days. </w:t>
      </w:r>
    </w:p>
    <w:p w:rsidR="00A25508" w:rsidRDefault="00A25508" w:rsidP="00A25508">
      <w:pPr>
        <w:widowControl w:val="0"/>
        <w:tabs>
          <w:tab w:val="center" w:pos="4680"/>
        </w:tabs>
        <w:autoSpaceDE w:val="0"/>
        <w:autoSpaceDN w:val="0"/>
        <w:adjustRightInd w:val="0"/>
        <w:spacing w:before="240"/>
        <w:ind w:right="-1056"/>
        <w:jc w:val="center"/>
        <w:rPr>
          <w:rFonts w:ascii="Times New Roman" w:hAnsi="Times New Roman" w:cs="Times New Roman"/>
        </w:rPr>
      </w:pPr>
      <w:r>
        <w:rPr>
          <w:rFonts w:ascii="Times New Roman" w:hAnsi="Times New Roman" w:cs="Times New Roman"/>
          <w:b/>
          <w:bCs/>
        </w:rPr>
        <w:t>CITY OF PETERSBURG, VIRGINIA</w:t>
      </w:r>
    </w:p>
    <w:p w:rsidR="00A25508" w:rsidRDefault="00A25508" w:rsidP="00A25508">
      <w:pPr>
        <w:widowControl w:val="0"/>
        <w:autoSpaceDE w:val="0"/>
        <w:autoSpaceDN w:val="0"/>
        <w:adjustRightInd w:val="0"/>
        <w:ind w:right="-1056"/>
        <w:jc w:val="center"/>
        <w:rPr>
          <w:rFonts w:ascii="Times New Roman" w:hAnsi="Times New Roman" w:cs="Times New Roman"/>
        </w:rPr>
      </w:pPr>
      <w:r>
        <w:rPr>
          <w:rFonts w:ascii="Times New Roman" w:hAnsi="Times New Roman" w:cs="Times New Roman"/>
        </w:rPr>
        <w:t>General Obligation Revenue Anticipation Notes</w:t>
      </w:r>
    </w:p>
    <w:p w:rsidR="00A25508" w:rsidRDefault="00A25508" w:rsidP="00A25508">
      <w:pPr>
        <w:widowControl w:val="0"/>
        <w:autoSpaceDE w:val="0"/>
        <w:autoSpaceDN w:val="0"/>
        <w:adjustRightInd w:val="0"/>
        <w:ind w:right="-1056"/>
        <w:jc w:val="center"/>
        <w:rPr>
          <w:rFonts w:ascii="Times New Roman" w:hAnsi="Times New Roman" w:cs="Times New Roman"/>
        </w:rPr>
      </w:pPr>
      <w:r>
        <w:rPr>
          <w:rFonts w:ascii="Times New Roman" w:hAnsi="Times New Roman" w:cs="Times New Roman"/>
        </w:rPr>
        <w:t>Series 2016</w:t>
      </w:r>
    </w:p>
    <w:p w:rsidR="00A25508" w:rsidRDefault="00A25508" w:rsidP="00A25508">
      <w:pPr>
        <w:widowControl w:val="0"/>
        <w:autoSpaceDE w:val="0"/>
        <w:autoSpaceDN w:val="0"/>
        <w:adjustRightInd w:val="0"/>
        <w:ind w:right="-1056"/>
        <w:jc w:val="both"/>
        <w:rPr>
          <w:rFonts w:ascii="Times New Roman" w:hAnsi="Times New Roman" w:cs="Times New Roman"/>
          <w:spacing w:val="-2"/>
          <w:kern w:val="1"/>
          <w:sz w:val="16"/>
          <w:szCs w:val="16"/>
        </w:rPr>
      </w:pPr>
    </w:p>
    <w:p w:rsidR="00A25508" w:rsidRDefault="00A25508" w:rsidP="00A25508">
      <w:pPr>
        <w:widowControl w:val="0"/>
        <w:autoSpaceDE w:val="0"/>
        <w:autoSpaceDN w:val="0"/>
        <w:adjustRightInd w:val="0"/>
        <w:ind w:right="-1056"/>
        <w:jc w:val="center"/>
        <w:rPr>
          <w:rFonts w:ascii="Times New Roman" w:hAnsi="Times New Roman" w:cs="Times New Roman"/>
          <w:b/>
          <w:bCs/>
          <w:kern w:val="1"/>
          <w:sz w:val="22"/>
          <w:szCs w:val="22"/>
        </w:rPr>
      </w:pPr>
      <w:r>
        <w:rPr>
          <w:rFonts w:ascii="Times New Roman" w:hAnsi="Times New Roman" w:cs="Times New Roman"/>
          <w:b/>
          <w:bCs/>
          <w:kern w:val="1"/>
          <w:sz w:val="22"/>
          <w:szCs w:val="22"/>
        </w:rPr>
        <w:t>$6,500,000 4.50% Notes Due October 1, 2017 Priced at 100 to Yield 4.50%</w:t>
      </w:r>
    </w:p>
    <w:p w:rsidR="00A25508" w:rsidRDefault="00A25508" w:rsidP="00A25508">
      <w:pPr>
        <w:widowControl w:val="0"/>
        <w:autoSpaceDE w:val="0"/>
        <w:autoSpaceDN w:val="0"/>
        <w:adjustRightInd w:val="0"/>
        <w:ind w:right="-1056"/>
        <w:jc w:val="center"/>
        <w:rPr>
          <w:rFonts w:ascii="Times New Roman" w:hAnsi="Times New Roman" w:cs="Times New Roman"/>
          <w:b/>
          <w:bCs/>
          <w:kern w:val="1"/>
          <w:sz w:val="20"/>
          <w:szCs w:val="20"/>
        </w:rPr>
      </w:pPr>
      <w:r>
        <w:rPr>
          <w:rFonts w:ascii="Times New Roman" w:hAnsi="Times New Roman" w:cs="Times New Roman"/>
          <w:b/>
          <w:bCs/>
          <w:kern w:val="1"/>
          <w:sz w:val="22"/>
          <w:szCs w:val="22"/>
        </w:rPr>
        <w:t>CUSIP# 716298 QJ6</w:t>
      </w:r>
    </w:p>
    <w:p w:rsidR="00A25508" w:rsidRDefault="00A25508" w:rsidP="00A25508">
      <w:pPr>
        <w:widowControl w:val="0"/>
        <w:autoSpaceDE w:val="0"/>
        <w:autoSpaceDN w:val="0"/>
        <w:adjustRightInd w:val="0"/>
        <w:ind w:right="-1056"/>
        <w:jc w:val="center"/>
        <w:rPr>
          <w:rFonts w:ascii="Times New Roman" w:hAnsi="Times New Roman" w:cs="Times New Roman"/>
          <w:spacing w:val="-2"/>
          <w:kern w:val="1"/>
          <w:sz w:val="16"/>
          <w:szCs w:val="16"/>
        </w:rPr>
      </w:pPr>
    </w:p>
    <w:p w:rsidR="00A25508" w:rsidRDefault="00A25508" w:rsidP="00A25508">
      <w:pPr>
        <w:widowControl w:val="0"/>
        <w:autoSpaceDE w:val="0"/>
        <w:autoSpaceDN w:val="0"/>
        <w:adjustRightInd w:val="0"/>
        <w:spacing w:line="216" w:lineRule="exact"/>
        <w:ind w:left="72" w:right="-1056"/>
        <w:jc w:val="both"/>
        <w:rPr>
          <w:rFonts w:ascii="Times New Roman" w:hAnsi="Times New Roman" w:cs="Times New Roman"/>
          <w:kern w:val="1"/>
          <w:sz w:val="18"/>
          <w:szCs w:val="18"/>
        </w:rPr>
      </w:pPr>
    </w:p>
    <w:p w:rsidR="00A25508" w:rsidRDefault="00A25508" w:rsidP="00A25508">
      <w:pPr>
        <w:widowControl w:val="0"/>
        <w:autoSpaceDE w:val="0"/>
        <w:autoSpaceDN w:val="0"/>
        <w:adjustRightInd w:val="0"/>
        <w:ind w:right="-1056"/>
        <w:jc w:val="both"/>
        <w:rPr>
          <w:rFonts w:ascii="Times New Roman" w:hAnsi="Times New Roman" w:cs="Times New Roman"/>
          <w:kern w:val="1"/>
          <w:sz w:val="20"/>
          <w:szCs w:val="20"/>
        </w:rPr>
      </w:pPr>
      <w:r>
        <w:rPr>
          <w:rFonts w:ascii="Times New Roman" w:hAnsi="Times New Roman" w:cs="Times New Roman"/>
          <w:kern w:val="1"/>
          <w:sz w:val="20"/>
          <w:szCs w:val="20"/>
        </w:rPr>
        <w:t>The Subsection entitled “Redemption” in “SECTION ONE: INTRODUCTION” (page 2) of the PPM is revised to read as follows:</w:t>
      </w:r>
    </w:p>
    <w:p w:rsidR="00A25508" w:rsidRDefault="00A25508" w:rsidP="00A25508">
      <w:pPr>
        <w:widowControl w:val="0"/>
        <w:autoSpaceDE w:val="0"/>
        <w:autoSpaceDN w:val="0"/>
        <w:adjustRightInd w:val="0"/>
        <w:ind w:right="-1056"/>
        <w:jc w:val="both"/>
        <w:rPr>
          <w:rFonts w:ascii="Times New Roman" w:hAnsi="Times New Roman" w:cs="Times New Roman"/>
          <w:kern w:val="1"/>
          <w:sz w:val="18"/>
          <w:szCs w:val="18"/>
        </w:rPr>
      </w:pPr>
    </w:p>
    <w:p w:rsidR="00A25508" w:rsidRDefault="00A25508" w:rsidP="00A25508">
      <w:pPr>
        <w:widowControl w:val="0"/>
        <w:autoSpaceDE w:val="0"/>
        <w:autoSpaceDN w:val="0"/>
        <w:adjustRightInd w:val="0"/>
        <w:spacing w:after="240"/>
        <w:ind w:right="-1056"/>
        <w:rPr>
          <w:rFonts w:ascii="Times New Roman" w:hAnsi="Times New Roman" w:cs="Times New Roman"/>
          <w:b/>
          <w:bCs/>
          <w:kern w:val="1"/>
          <w:sz w:val="20"/>
          <w:szCs w:val="20"/>
        </w:rPr>
      </w:pPr>
      <w:r>
        <w:rPr>
          <w:rFonts w:ascii="Times New Roman" w:hAnsi="Times New Roman" w:cs="Times New Roman"/>
          <w:b/>
          <w:bCs/>
          <w:kern w:val="1"/>
          <w:sz w:val="20"/>
          <w:szCs w:val="20"/>
        </w:rPr>
        <w:t>Redemption</w:t>
      </w:r>
    </w:p>
    <w:p w:rsidR="00A25508" w:rsidRDefault="00A25508" w:rsidP="00A25508">
      <w:pPr>
        <w:widowControl w:val="0"/>
        <w:autoSpaceDE w:val="0"/>
        <w:autoSpaceDN w:val="0"/>
        <w:adjustRightInd w:val="0"/>
        <w:spacing w:after="240"/>
        <w:ind w:right="-1056" w:firstLine="720"/>
        <w:jc w:val="both"/>
        <w:rPr>
          <w:rFonts w:ascii="Times New Roman" w:hAnsi="Times New Roman" w:cs="Times New Roman"/>
          <w:kern w:val="1"/>
          <w:sz w:val="20"/>
          <w:szCs w:val="20"/>
        </w:rPr>
      </w:pPr>
      <w:r>
        <w:rPr>
          <w:rFonts w:ascii="Times New Roman" w:hAnsi="Times New Roman" w:cs="Times New Roman"/>
          <w:kern w:val="1"/>
          <w:sz w:val="20"/>
          <w:szCs w:val="20"/>
        </w:rPr>
        <w:t>The Notes are subject to redemption prior to maturity, at the option of the City, in whole only, at any time on or after June 1, 2017, upon at least twenty days’ notice.  A more complete description of the redemption features is provided in the subsection “Redemption” in Section Two.</w:t>
      </w:r>
    </w:p>
    <w:p w:rsidR="00A25508" w:rsidRDefault="00A25508" w:rsidP="00A25508">
      <w:pPr>
        <w:widowControl w:val="0"/>
        <w:autoSpaceDE w:val="0"/>
        <w:autoSpaceDN w:val="0"/>
        <w:adjustRightInd w:val="0"/>
        <w:ind w:right="-1056"/>
        <w:jc w:val="both"/>
        <w:rPr>
          <w:rFonts w:ascii="Times New Roman" w:hAnsi="Times New Roman" w:cs="Times New Roman"/>
          <w:kern w:val="1"/>
          <w:sz w:val="18"/>
          <w:szCs w:val="18"/>
        </w:rPr>
      </w:pPr>
    </w:p>
    <w:p w:rsidR="00A25508" w:rsidRDefault="00A25508" w:rsidP="00A25508">
      <w:pPr>
        <w:widowControl w:val="0"/>
        <w:autoSpaceDE w:val="0"/>
        <w:autoSpaceDN w:val="0"/>
        <w:adjustRightInd w:val="0"/>
        <w:ind w:right="-1056"/>
        <w:jc w:val="both"/>
        <w:rPr>
          <w:rFonts w:ascii="Times New Roman" w:hAnsi="Times New Roman" w:cs="Times New Roman"/>
          <w:kern w:val="1"/>
          <w:sz w:val="18"/>
          <w:szCs w:val="18"/>
        </w:rPr>
      </w:pPr>
    </w:p>
    <w:p w:rsidR="00A25508" w:rsidRDefault="00A25508" w:rsidP="00A25508">
      <w:pPr>
        <w:widowControl w:val="0"/>
        <w:autoSpaceDE w:val="0"/>
        <w:autoSpaceDN w:val="0"/>
        <w:adjustRightInd w:val="0"/>
        <w:ind w:right="-1056"/>
        <w:jc w:val="both"/>
        <w:rPr>
          <w:rFonts w:ascii="Times New Roman" w:hAnsi="Times New Roman" w:cs="Times New Roman"/>
          <w:kern w:val="1"/>
          <w:sz w:val="20"/>
          <w:szCs w:val="20"/>
        </w:rPr>
      </w:pPr>
      <w:r>
        <w:rPr>
          <w:rFonts w:ascii="Times New Roman" w:hAnsi="Times New Roman" w:cs="Times New Roman"/>
          <w:kern w:val="1"/>
          <w:sz w:val="20"/>
          <w:szCs w:val="20"/>
        </w:rPr>
        <w:t>The Subsection entitled “Notice of Redemption” in “SECTION TWO:  THE BONDS” (page 5) of the PPM is revised to read as follows:</w:t>
      </w:r>
    </w:p>
    <w:p w:rsidR="00A25508" w:rsidRDefault="00A25508" w:rsidP="00A25508">
      <w:pPr>
        <w:widowControl w:val="0"/>
        <w:autoSpaceDE w:val="0"/>
        <w:autoSpaceDN w:val="0"/>
        <w:adjustRightInd w:val="0"/>
        <w:ind w:right="-1056"/>
        <w:rPr>
          <w:rFonts w:ascii="Times New Roman" w:hAnsi="Times New Roman" w:cs="Times New Roman"/>
          <w:kern w:val="1"/>
          <w:sz w:val="18"/>
          <w:szCs w:val="18"/>
        </w:rPr>
      </w:pPr>
    </w:p>
    <w:p w:rsidR="00A25508" w:rsidRDefault="00A25508" w:rsidP="00A25508">
      <w:pPr>
        <w:widowControl w:val="0"/>
        <w:autoSpaceDE w:val="0"/>
        <w:autoSpaceDN w:val="0"/>
        <w:adjustRightInd w:val="0"/>
        <w:spacing w:after="240"/>
        <w:ind w:right="-1056"/>
        <w:rPr>
          <w:rFonts w:ascii="Times New Roman" w:hAnsi="Times New Roman" w:cs="Times New Roman"/>
          <w:b/>
          <w:bCs/>
          <w:kern w:val="1"/>
          <w:sz w:val="20"/>
          <w:szCs w:val="20"/>
        </w:rPr>
      </w:pPr>
      <w:r>
        <w:rPr>
          <w:rFonts w:ascii="Times New Roman" w:hAnsi="Times New Roman" w:cs="Times New Roman"/>
          <w:b/>
          <w:bCs/>
          <w:kern w:val="1"/>
          <w:sz w:val="20"/>
          <w:szCs w:val="20"/>
        </w:rPr>
        <w:t>Notice of Redemption</w:t>
      </w:r>
    </w:p>
    <w:p w:rsidR="00A25508" w:rsidRDefault="00A25508" w:rsidP="00A25508">
      <w:pPr>
        <w:widowControl w:val="0"/>
        <w:autoSpaceDE w:val="0"/>
        <w:autoSpaceDN w:val="0"/>
        <w:adjustRightInd w:val="0"/>
        <w:spacing w:after="240"/>
        <w:ind w:right="-1056" w:firstLine="720"/>
        <w:jc w:val="both"/>
        <w:rPr>
          <w:rFonts w:ascii="Times New Roman" w:hAnsi="Times New Roman" w:cs="Times New Roman"/>
          <w:kern w:val="1"/>
          <w:sz w:val="20"/>
          <w:szCs w:val="20"/>
        </w:rPr>
      </w:pPr>
      <w:r>
        <w:rPr>
          <w:rFonts w:ascii="Times New Roman" w:hAnsi="Times New Roman" w:cs="Times New Roman"/>
          <w:kern w:val="1"/>
          <w:sz w:val="20"/>
          <w:szCs w:val="20"/>
        </w:rPr>
        <w:t>The City shall cause notice of the call for redemption identifying the Notes or portions thereof to be redeemed to be sent by facsimile or electronic transmission, registered or certified mail or overnight express delivery, not less than 20 nor more than 60 days prior to the redemption date, to DTC, or its nominee, as the registered owner of the Notes.  The City shall not be responsible for mailing notice of redemption to anyone other than DTC or another qualified securities depository or its nominee unless no qualified securities depository is the registered owner of the Notes.  If no qualified securities depository is the registered owner of the Notes, notice of redemption shall be mailed to the registered owners of the Notes.</w:t>
      </w:r>
    </w:p>
    <w:p w:rsidR="00A25508" w:rsidRDefault="00A25508" w:rsidP="00A25508">
      <w:pPr>
        <w:widowControl w:val="0"/>
        <w:autoSpaceDE w:val="0"/>
        <w:autoSpaceDN w:val="0"/>
        <w:adjustRightInd w:val="0"/>
        <w:spacing w:after="180"/>
        <w:ind w:right="-1056" w:firstLine="720"/>
        <w:jc w:val="both"/>
        <w:rPr>
          <w:rFonts w:ascii="Times New Roman" w:hAnsi="Times New Roman" w:cs="Times New Roman"/>
          <w:kern w:val="1"/>
          <w:sz w:val="20"/>
          <w:szCs w:val="20"/>
        </w:rPr>
      </w:pPr>
      <w:r>
        <w:rPr>
          <w:rFonts w:ascii="Times New Roman" w:hAnsi="Times New Roman" w:cs="Times New Roman"/>
          <w:kern w:val="1"/>
          <w:sz w:val="20"/>
          <w:szCs w:val="20"/>
        </w:rPr>
        <w:t>The City may give or cause to be given notice of redemption prior to a deposit of redemption moneys if such notice states that the redemption is to be funded with the proceeds of a refunding bond issue and is conditioned on the deposit of such proceeds.  Provided that moneys are deposited on or before the redemption date, such notice shall be effective when given.  If such proceeds are not available on the redemption date, such Notes will continue to bear interest until paid at the same rate they would have borne had they not been called for redemption and principal will continue to be payable as scheduled.  On presentation and surrender of the Notes called for redemption at the place or places of payment, such Notes shall be paid and redeemed.</w:t>
      </w:r>
    </w:p>
    <w:p w:rsidR="00A25508" w:rsidRDefault="00A25508" w:rsidP="00A25508">
      <w:pPr>
        <w:widowControl w:val="0"/>
        <w:autoSpaceDE w:val="0"/>
        <w:autoSpaceDN w:val="0"/>
        <w:adjustRightInd w:val="0"/>
        <w:spacing w:before="244" w:line="211" w:lineRule="exact"/>
        <w:ind w:left="9" w:right="-1042"/>
        <w:jc w:val="both"/>
        <w:rPr>
          <w:rFonts w:ascii="Times New Roman" w:hAnsi="Times New Roman" w:cs="Times New Roman"/>
          <w:kern w:val="1"/>
          <w:sz w:val="20"/>
          <w:szCs w:val="20"/>
        </w:rPr>
      </w:pPr>
    </w:p>
    <w:p w:rsidR="00A25508" w:rsidRDefault="00A25508" w:rsidP="00A25508">
      <w:pPr>
        <w:widowControl w:val="0"/>
        <w:autoSpaceDE w:val="0"/>
        <w:autoSpaceDN w:val="0"/>
        <w:adjustRightInd w:val="0"/>
        <w:spacing w:line="211" w:lineRule="exact"/>
        <w:ind w:left="14" w:right="-1042"/>
        <w:jc w:val="both"/>
        <w:rPr>
          <w:rFonts w:ascii="Times New Roman" w:hAnsi="Times New Roman" w:cs="Times New Roman"/>
          <w:kern w:val="1"/>
          <w:sz w:val="20"/>
          <w:szCs w:val="20"/>
        </w:rPr>
      </w:pPr>
      <w:r>
        <w:rPr>
          <w:rFonts w:ascii="Times New Roman" w:hAnsi="Times New Roman" w:cs="Times New Roman"/>
          <w:kern w:val="1"/>
          <w:sz w:val="20"/>
          <w:szCs w:val="20"/>
        </w:rPr>
        <w:t xml:space="preserve">Investors must read the entire PPM and this Supplement to obtain information essential to the making of an informed investment decision. </w:t>
      </w:r>
    </w:p>
    <w:p w:rsidR="00A25508" w:rsidRDefault="00A25508" w:rsidP="00A25508">
      <w:pPr>
        <w:widowControl w:val="0"/>
        <w:autoSpaceDE w:val="0"/>
        <w:autoSpaceDN w:val="0"/>
        <w:adjustRightInd w:val="0"/>
        <w:spacing w:line="211" w:lineRule="exact"/>
        <w:ind w:left="14" w:right="-1042"/>
        <w:jc w:val="both"/>
        <w:rPr>
          <w:rFonts w:ascii="Times New Roman" w:hAnsi="Times New Roman" w:cs="Times New Roman"/>
          <w:kern w:val="1"/>
          <w:sz w:val="20"/>
          <w:szCs w:val="20"/>
        </w:rPr>
      </w:pPr>
    </w:p>
    <w:p w:rsidR="00A25508" w:rsidRDefault="00A25508" w:rsidP="00A25508">
      <w:pPr>
        <w:widowControl w:val="0"/>
        <w:autoSpaceDE w:val="0"/>
        <w:autoSpaceDN w:val="0"/>
        <w:adjustRightInd w:val="0"/>
        <w:spacing w:line="211" w:lineRule="exact"/>
        <w:ind w:right="-235"/>
        <w:rPr>
          <w:rFonts w:ascii="Times New Roman" w:hAnsi="Times New Roman" w:cs="Times New Roman"/>
          <w:kern w:val="1"/>
          <w:sz w:val="20"/>
          <w:szCs w:val="20"/>
        </w:rPr>
      </w:pPr>
      <w:r>
        <w:rPr>
          <w:rFonts w:ascii="Times New Roman" w:hAnsi="Times New Roman" w:cs="Times New Roman"/>
          <w:kern w:val="1"/>
          <w:sz w:val="20"/>
          <w:szCs w:val="20"/>
        </w:rPr>
        <w:t xml:space="preserve">The date of this Supplement to the PPM is December 7, 2016. </w:t>
      </w:r>
    </w:p>
    <w:p w:rsidR="00D775A3" w:rsidRDefault="00D775A3"/>
    <w:sectPr w:rsidR="00D775A3" w:rsidSect="00683A9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08"/>
    <w:rsid w:val="00A25508"/>
    <w:rsid w:val="00D7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4DA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2459</Characters>
  <Application>Microsoft Macintosh Word</Application>
  <DocSecurity>0</DocSecurity>
  <Lines>20</Lines>
  <Paragraphs>5</Paragraphs>
  <ScaleCrop>false</ScaleCrop>
  <Company>JP Harris Incorporated</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Harris</dc:creator>
  <cp:keywords/>
  <dc:description/>
  <cp:lastModifiedBy>Stephanie Harris</cp:lastModifiedBy>
  <cp:revision>1</cp:revision>
  <dcterms:created xsi:type="dcterms:W3CDTF">2016-12-22T01:10:00Z</dcterms:created>
  <dcterms:modified xsi:type="dcterms:W3CDTF">2016-12-22T01:11:00Z</dcterms:modified>
</cp:coreProperties>
</file>